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300" w:line="276" w:lineRule="auto"/>
        <w:contextualSpacing w:val="0"/>
        <w:jc w:val="center"/>
      </w:pPr>
      <w:r w:rsidDel="00000000" w:rsidR="00000000" w:rsidRPr="00000000">
        <w:rPr>
          <w:b w:val="1"/>
          <w:rtl w:val="0"/>
        </w:rPr>
        <w:t xml:space="preserve">ГОСУДАРСТВЕННЫЙ СТАНДАРТ РОССИЙСКОЙ ФЕДЕРАЦИИ</w:t>
      </w:r>
    </w:p>
    <w:p w:rsidR="00000000" w:rsidDel="00000000" w:rsidP="00000000" w:rsidRDefault="00000000" w:rsidRPr="00000000">
      <w:pPr>
        <w:spacing w:after="300" w:line="276" w:lineRule="auto"/>
        <w:contextualSpacing w:val="0"/>
        <w:jc w:val="center"/>
      </w:pPr>
      <w:r w:rsidDel="00000000" w:rsidR="00000000" w:rsidRPr="00000000">
        <w:rPr>
          <w:b w:val="1"/>
          <w:rtl w:val="0"/>
        </w:rPr>
        <w:t xml:space="preserve">ГОСТ Р 2002 «ТЕСАКИ ОХОТНИЧЬИ, МАЧЕТЕ ТУРИСТИЧЕСКИЕ, РАЗДЕЛОЧНЫЕ И ИНСТРУМЕНТЫ ДЛЯ ВОССТАНОВИТЕЛЬНЫХ и СПАСАТЕЛЬНЫХ РАБОТ (ИВСР)».</w:t>
      </w:r>
    </w:p>
    <w:p w:rsidR="00000000" w:rsidDel="00000000" w:rsidP="00000000" w:rsidRDefault="00000000" w:rsidRPr="00000000">
      <w:pPr>
        <w:spacing w:after="300" w:line="276" w:lineRule="auto"/>
        <w:contextualSpacing w:val="0"/>
        <w:jc w:val="center"/>
      </w:pPr>
      <w:r w:rsidDel="00000000" w:rsidR="00000000" w:rsidRPr="00000000">
        <w:rPr>
          <w:b w:val="1"/>
          <w:rtl w:val="0"/>
        </w:rPr>
        <w:t xml:space="preserve">ГОСТ Р — 2002</w:t>
      </w:r>
    </w:p>
    <w:p w:rsidR="00000000" w:rsidDel="00000000" w:rsidP="00000000" w:rsidRDefault="00000000" w:rsidRPr="00000000">
      <w:pPr>
        <w:spacing w:after="300" w:line="276" w:lineRule="auto"/>
        <w:contextualSpacing w:val="0"/>
        <w:jc w:val="center"/>
      </w:pPr>
      <w:r w:rsidDel="00000000" w:rsidR="00000000" w:rsidRPr="00000000">
        <w:rPr>
          <w:b w:val="1"/>
          <w:i w:val="1"/>
          <w:rtl w:val="0"/>
        </w:rPr>
        <w:t xml:space="preserve">Общие технические условия.</w:t>
      </w:r>
    </w:p>
    <w:p w:rsidR="00000000" w:rsidDel="00000000" w:rsidP="00000000" w:rsidRDefault="00000000" w:rsidRPr="00000000">
      <w:pPr>
        <w:spacing w:after="300" w:line="276" w:lineRule="auto"/>
        <w:contextualSpacing w:val="0"/>
        <w:jc w:val="center"/>
      </w:pPr>
      <w:r w:rsidDel="00000000" w:rsidR="00000000" w:rsidRPr="00000000">
        <w:rPr>
          <w:i w:val="1"/>
          <w:rtl w:val="0"/>
        </w:rPr>
        <w:t xml:space="preserve">Дата вступления в силу 2002 год.</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 ОБЛАСТЬ ПРИМЕНЕНИЯ.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Настоящий стандарт устанавливает конструктивные и технические требования на тесаки охотничьи, мачете туристические, разделочные и инструменты для восстановительных и спасательных работ (ИВСР) в соответствии с Федеральным законом ‘Об оружии’, а также другими нормативными документами, регламентирующими оборот гражданского холодного оружия в Российской Федерации, виды и методы контроля на соответствие конструктивным и техническим требованиям.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Настоящий стандарт распространяется на тесаки охотничьи, используемые на промысловой или спортивной охоте, на мачете туристические, разделочные, используемые в походных условиях при занятиях оздоровительным, спортивным туризмом или в быту, а также на инструменты для восстановительных и спасательных работ (ИВСР), используемые при ликвидации последствий стихийных бедствий, катастроф и т.п.</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1.1. Тесаки охотничьи относятся к гражданскому охотничьему холодному клинковому оружию.</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1.2. Основное назначение охотничьих тесаков как оружия является поражение и добивание зверя, а также защита при его нападении.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1.2.1. Тесаки охотничьи могут также применяться и при разделке туш и (или) снятия шкур, а также для других хозяйственных целей в условиях промысловой или спортивной охоты.</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1.3. Мачете туристические, разделочные и инструменты для восстановительных и спасательных работ (ИВСР) являются хозяйственно-бытовыми изделиями и не относятся к гражданскому холодному клинковому оружию.</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1.4. Основное назначение мачете туристических это использование их для выполнения широкого круга хозяйственно-бытовых работ в походных условиях при занятиях оздоровительным и спортивным туризмом (например, при: прорубании троп в густых зарослях, заготовке хвороста и т.п.), а также использование их в быту в качестве изделий хозяйственно-бытового назначения (например, садового инвентаря).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1.5. Основное назначение мачете разделочных это использование их при разделке туш и (или) снятия шкур, а также для других хозяйственных целей в условиях промысловой или спортивной охоты, а также в быту.</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1.6. Основное назначение инструментов для восстановительных и спасательных работ (ИВСР) это их использование в качестве шанцевого инструмента при ликвидации последствий стихийных бедствий, катастроф (например, при разборе завалов и т.п.).</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1.7. Тесаки охотничьи (оборот которых сопоставим с оборотом охотничьих ножей), а также мачете туристические, разделочные и инструменты для восстановительных и спасательных работ (ИВСР), как предметы конструктивно сходные с холодным оружием, в соответствии с требованиями федерального Закона ‘Об оружии’ подлежат обязательной сертификации, в рамках которой проводятся их испытания на соответствие криминалистическим требованиям.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1.8. Стандарт распространяется на все тесаки охотничьи, мачете туристические, разделочные и инструменты для восстановительных и спасательных работ (ИВСР), в том числе и на импортные изделия.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1.8.1. На изделия, изготовленные самодельным способом, распространяются конструктивные и технические требования, установленные настоящим стандартом, а также виды и методы контроля, только в части установления и оценки их соответствия гражданскому охотничьему холодному клинковому оружию или же предметам хозяйственно-бытового назначения, при проведении криминалистических исследований и экспертиз.</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1.7.2. Все требования настоящего стандарта являются обязательными.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2. НОРМАТИВНЫЕ ССЫЛКИ.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В настоящем стандарте использованы ссылки на следующие стандарты:</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51215-98 ‘Оружие холодное. Термины и определения';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166-89 Штангенциркули.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427-75 Линейки измерительные металлические.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9013-59 Металлы. Методы испытаний. Измерение твердости по Роквеллу;</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9.014-78 ЕСЗКС. Временная противокоррозионная защита изделий. Общие требования;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515-77 Бумага упаковочная битумированная и дегтевая. Технические требования;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1908-88 Бумага конденсаторная. Общие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2991-85 Ящики дощатые неразборные для грузов массой до 500 кг. Общие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4976-83 Лаки марок НЦ-218, НЦ-222, НЦ-243 мебельные и НЦ-223.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8273-73 Бумага оберточная.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8828-89 Бумага-основа и бумага двухслойная водонепроницаемая упакочная.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9993-74 Пенька короткая.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10354-82 Пленка полиэтиленовая.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50460-92 Знак соответствия при обязательной сертификации. Форма, размеры и технические условия.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 ОПРЕДЕЛЕНИЯ.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В настоящем стандарте применяют следующие термины с соответствующими определениями: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 Холодное оружие — оружие, конструктивно предназначенное для поражения цели с помощью мускульной силы человека;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 Тип холодного оружия — группа образцов холодного оружия, характеризующаяся одинаковым комплексом конструктивных признаков;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 Клинковое холодное оружие — холодное оружие, имеющее боевую часть в виде клинка (клинков), прочно и неподвижно соединенного с рукоятью;</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3.4. Колюще-режущее (холодное) оружие — холодное оружие, боевая часть которого формирует колото-резанное повреждение;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3.5. Рубяще-режущее (холодное) оружие — холодное оружие, боевая часть которого формирует рублено-резаное повреждение;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3.6. Гражданское холодное оружие — холодное оружие, разрешенное законодательством для использования гражданами;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3.7. Охотничье холодное оружие — гражданское холодное оружие, предназначенное для поражения зверя на охоте;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3.8. Военное холодное оружие — холодное оружие, состоящее или состоявшее на вооружении государственных военизированных организаций, воинов и воинских формирований прошлого;</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3.9. Произвольное холодное оружие (ндп. Атипичное холодное оружие) — холодное оружие, сочетающее в конструкции детали различных образцов одного типа холодного оружия;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3.10. Импортное холодное оружие — холодное оружие иностранного производства, разрешенное к обороту в Российской Федерации;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3.11. Художественное холодное оружие (ндп. Подарочное холодное оружие) — холодное оружие, изготовленное с использованием приемов, техники и (или) материалов, придающих изделию художественно-эстетическую ценность;</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Художественная ценность холодного оружия устанавливается на основании официального заключения уполномоченных государством органов.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3.12. Боевой нож — контактное и (или) метаемое клинковое колюще-режущее оружие с коротким однолезвийным клинком;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3.13. Охотничий нож (кинжал) — боевой нож (кинжал), предназначенный для поражения зверя на охоте;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3.14. Тесак — контактное клинковое рубяще-режещее и колюще-режущее оружие с широким средним однолезвийным клинком.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3.15. Мачете (исп. machete) — большой нож, употребляемый для рубки сахарного тростника (словарь иностранных слов).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3.16. Клинок — протяженная металлическая, боевая часть холодного оружия с острием и одним или двумя лезвиями, являющаяся частью полосы;</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3.17. Клинок ятаганного типа — клинок, имеющий двойной изгиб.</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3.18. Пята (клинка) (ндп. Пятка) — незатачиваемая часть клинка, расположенная между лезвием и рукоятью;</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3.19. Обух клинка (ндп. Обушок) — незаточенный край однолезвийного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3.20. Скос обуха (ндп. Противолезвие) — часть обуха, наклоненная в сторону лезвия и образующая с ним острие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3.21. Пила обуха — ряд заточенных зубьев на обухе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3.22. Ребро жесткости (холодного оружия) — ребро боевой части холодного оружия, существенно повышающее ее прочность клинка на излом;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3.23. Лезвие (холодного оружия) — заточенный край боевой части холодного оружия, представляющий собой ребро с острым углом спряжения поверхностей;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3.24. Острие (холодного оружия) — конец боевой части холодного оружия, стягивающийся в точку, короткое лезвие или грань с максимальным размером до 3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3.25. Хвостовик (ндп. Сорочка) — часть полосы, служащая для крепления рукояти, эфеса;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3.26. Елмань — расширенная в сторону обуха конечная часть однолезвийного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3.27. Голомень — боковая сторона клинка, ограниченная лезвием и обухом или двумя лезвиями;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3.28. Рукоять — часть холодного оружия, с помощью которой его удерживают рукой (руками) и управляют при применении;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3.29. Эфес — рукоять с защитным устройством.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3.30. Защитное устройство — часть холодного оружия, предназначенная для защиты руки, удерживающей оружие, и состоящее из одной или нескольких деталей.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3.31. Черен — основная часть рукояти, непосредственно захватываемая рукой (руками);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3.32. Крестовина (ндп. Ограничитель) — Защитное устройство, расположенное у передней части рукояти и выступающее над обухом и лезвием;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3.33. Ограничитель рукояти — передняя расширенная часть рукояти, примыкающая к черену;</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3.34. Навершие (ндп. Головка рукояти) — задняя часть рукояти, примыкающая к черену и отличающаяся от него по форме;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3.35. Плашки рукояти (ндп. Щечки рукояти) — детали рукояти в виде накладок;</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3.36. Спинка рукояти — сторона рукояти, находящаяся на одной линии с обухом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3.37. Втулка рукояти — металлическая деталь рукояти, охватывающая черен с одного или обоих концов;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3.38. Темляк — прочная петля из кожи или иного материала, крепящаяся к рукояти и одеваемая на запястье руки, удерживающей оружие;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3.39. Ножны — футляр для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 КОНСТРУКТИВНЫЕ ОСОБЕННОСТИ ТЕСАКОВ ОХОТНИЧЬИХ, МАЧЕТЕ ТУРИСТИЧЕСКИХ, РАЗДЕЛОЧНЫХ И ИНСТРУМЕНТОВ ДЛЯ ВОССТАНОВИТЕЛЬНЫХ и СПАСАТЕЛЬНЫХ РАБОТ (ИВСР).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 Тесаки охотничьи, мачете туристические, разделочные и инструменты для восстановительных и спасательных работ (ИВСР) по своей конструкции относятся к двум типам: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нескладные (неразборные и разборные со сменными дополнительными предметами или инструментами, например, лопата, топор и т.п.);</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складные с фиксатором или без фиксатора.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4.2. Общая компоновка тесаков охотничьих, а также конструктивные особенности их клинков и рукоятей (форма, размер, масса, примененные для их изготовления материалы и т.п.), в сочетании с прочностными характеристиками должны обеспечивать: долговечность и безопасность эксплуатации, а также достаточные для гражданского холодного оружия поражающие свойства. (см. Приложение 1).</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4.2.1. Конструкции охотничьих тесаков могут базироваться на конструкциях военных образцов холодного оружия.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4.3. Общая компоновка мачете туристических, разделочных, инструментов для восстановительных и спасательных работ (ИВСР), а также конструктивные особенности их клинков (полотен) и рукоятей (форма, размер, масса, примененные для изготовления материалы и т.п.) в сочетании с необходимой для хозяйственно-бытовых изделий прочностью должны обеспечивать достаточную долговечность и безопасность их применения при проведении различных хозяйственных и специальных работ. (см. Приложения 2, 3).</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4.3.1. Поражающие свойства туристических, разделочных мачете и инструментов для восстановительных и спасательных работ (ИВСР) должны отсутствовать или быть снижены за счет конструктивных особенностей и технических характеристик.</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4.4. Соединение клинков охотничьих тесаков, туристических, разделочных мачете и полотен инструментов для восстановительных и спасательных работ (ИВСР) с рукоятями должно быть плотным и прочным.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4.5. Для изготовления клинков охотничьих тесаков, туристических, разделочных мачете и полотен инструментов для восстановительных и спасательных работ (ИВСР) могут быть применены:</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различные металлы и их сплавы (углеродистые стали, коррозийно-стойкие легированные стали, дамасские и булатные стали и др.).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композиции материалов (сталь с покрытием слоем нитрида титана и др.)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4.6. Складные охотничьи тесаки обязательно оснащаются фиксатором, жестко фиксирующим клинок в рабочем положении.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4.7. Складные охотничьи тесаки, мачете туристические, разделочные и инструменты для восстановительных и спасательных работ (ИВСР) изготавливаются с клинком (полотном), длина которого обязательно превышает длину рукояти. Складная конструкция применяется только с целью уменьшения общей длины изделия при транспортировке для удобства ношения. Рукоять при этом может не обеспечивать безопасность ношения изделия без ножен в сложенном положении.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4.8. На поверхностях клинков охотничьих тесаков, туристических, разделочных мачете и полотен инструментов для восстановительных и спасательных работ (ИВСР), а также других металлических частях не допускаются выкрашивание, заусенцы, раковины, трещины, расслоения и другие дефекты, ухудшающие прочность и безопасность изделия, и его внешний вид.</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4.9. Допускается изготовление клинков охотничьих тесаков, туристических, разделочных мачете и полотен инструментов для восстановительных и спасательных работ (ИВСР) с использованием технологий термической или механической обработок, нанесения специальных покрытий (воронение, шлифовка до матовой поверхности, окраска, напыление металлов и др.), обеспечивающих антибликовую структуру их поверхностей.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4.10. Лезвия тесаков охотничьих, мачете туристических, разделочных и инструментов для восстановительных и спасательных работ (ИВСР) должны иметь одно или двустороннюю заточку.</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4.10.1. Допускаются специальные виды заточек, например, серейторная типа ‘бобровый зуб’, на часть лезвия со стороны рукояти, но не более ¼ от общей длины лезвия.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4.10.2. На полотнах инструментов для восстановительных и спасательных работ (ИВСР) допускается притупление лезвия как по всей его длине, так и фрагментарное.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4.11. У охотничьих тесаков и мачете туристических, разделочных допускается выполнение дополнительной заточки на скосе или части обуха на длину не более 1/2 длины клинка (от его острия или рабочего конца). Степень такой заточки ограничений не имеет.</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4.12. Голомени клинков охотничьих тесаков, мачете туристических, разделочных и полотен инструментов для восстановительных и спасательных работ (ИВСР) могут оснащаться узкими или широкими долами. Количество дол не регламентируется.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4.13. Клинки охотничьи тесаков могут оснащаться одно или двурядной пилой по дереву или кости, размещенной на обухе.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4.14. На клинках охотничьих тесаков, туристических, разделочных мачете и полотнах инструментов для восстановительных и спасательных работ (ИВСР) не допускается наличие специальных шоковых пазов, характерных для боевого холодного коротко и среднеклинкового оружия и предназначенных для нанесения рваных ран.</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4.15. Рукояти охотничьих тесаков, туристических, разделочных мачете и инструментов для восстановительных и спасательных работ (ИВСР) должны быть тщательно обработаны, и обеспечивать безопасность при их применении и ношении.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4.16. Для изготовления рукоятей и их частей охотничьих тесаков, туристических, разделочных мачете и инструментов для восстановительных и спасательных работ (ИВСР) могут использоваться различные материалы (дерево, кап, береста, кожа, шнур, рог, кость, металл, пластмасса, резина, также другие природные и синтетические материалы или их комбинации).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4.17. Конструкции рукоятей охотничьих тесаков, туристических, разделочных мачете и инструментов для восстановительных и спасательных работ (ИВСР) могут быть различными (всадными, прессованными, литыми или с плашками), с креплением для темляка или без него.</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4.17.1. Рукояти охотничьих тесаков обязательно должны оснащаться крестовиной, защитной дужкой или иным защитным устройством.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4.17.2. Рукояти туристических, разделочных мачете, инструментов для восстановительных и спасательных работ (ИВСР) могут изготавливаться как с защитными устройствами, так и без них.</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4.17.3. Не допускается оснащение рукоятей ударным конусом, характерным для боевого оружия.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4.18. Мачете туристические, разделочные и инструменты для восстановительных и спасательных работ (ИВСР) могут иметь дополнительные предметы и приспособления как бытового, так и специального назначения, размещенные в полости рукояти (шило, штопор, консервооткрыватель и т.п.), либо на обухе или голомени клинка (шабер; одно или двурядная пила по дереву или металлу; гвоздодер; стропорез; крюк для разрезания веревок, линейную или угломерную разметку и т.п.).</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4.19. Тесаки охотничьи, мачете туристические, разделочные и инструменты для восстановительных и спасательных работ (ИВСР) могут иметь художественно-декоративное оформление клинка и (или) рукояти, нанесенное различными способами (рисованием, гравированием, химическими и электрографическими методами, лазерным или термическим выжиганием, резьбой по металлу и дереву, инкрустацией, чеканкой и др.).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4.20. Тесаки охотничьи, мачете туристические, разделочные и инструменты для восстановительных и спасательных работ (ИВСР) должны комплектоваться предохранительными ножнами или футлярами, в том числе и художественно оформленными, изготовленными из натуральных, синтетических материалов или их комбинаций, обеспечивающими безопасную транспортировку и хранение изделий.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 ТЕХНИЧЕСКИЕ ТРЕБОВАНИЯ К ТЕСАКАМ ОХОТНИЧЬИМ.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5.1. Охотничьи тесаки, являющиеся гражданским холодным оружием, оснащаются клинком с острием, обеспечивающим поражающие свойства при нанесении целенаправленных колюще-режущих ударов.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5.1.1. Предельные размеры для клинков охотничьих тесаков: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длина от 210 до 500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Длина определяется размером от острия до защитного устройства рукояти (крестовины, дужки и т.п.), а в случае ее отсутствия до переднего торца втулки или черена рукояти, оснащенной иными защитными устройствами.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толщина не менее 3,0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Измерение производится в наиболее толстом месте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ширина от 25 до 45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угол острия менее 70 градусов;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5..2. Твердость клинков не менее 40 HRC.</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Тесаки, изготовленные по типу охотничьих и имеющие твердость клинка ниже 25 HRC, в соответствии с требованиями ГОСТ Р 51715-2001 являются сувенирными изделиями.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5.3. Клинки прямые или искривленные (по обуху), как с расширением от острия, так и без расширения. Допускается изготовление клинков ятаганного типа, а также клинков оснащенных елманью.</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5.3.1 Сечения клинков могут быть ромбической, клиновидной и т.п. формы.</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5.3.2. При отсутствии ромбического или клиновидного сечения ширина заточки непосредственно у острия не менее 20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5.4. Клинки должны быть прочными, упругими и иметь остаточную деформацию при изгибе в пределах, установленных требованиями настоящего ГОСТа. Прочность и упругость конструкции охотничьих тесаков определяются по схеме 1 (см. п. п. 11.6, 11.6.1 раздела ‘Методы контроля’).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После испытания на клинке не должно быть остаточных деформаций, превышающих 1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5.5.Охотничьи тесаки должны компоноваться травмобезопасной рукоятью (эфесом).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5.5.1 Рукоять считается травмобезопасной, если: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5.5.2. Превышение одностороннего или двухстороннего (в сумме) ограничителя (крестовины) над череном рукояти — не менее 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5.5.3. Глубина одиночной подпальцевой выемки на передней втулке или черене рукояти — не менее 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5.5.4. Глубина подпальцевых выемок на передней втулке или черене рукояти, имеющем более одной подпальцевой выемки — не менее 4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5.5.5. Пята клинка, выступающая в роли ограничителя имеет толщину — не менее 3,5 мм (при отсутствии клиновидного скоса в сторону лезвия);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5.5.6. Разница максимального диаметра в средней части бочкообразной рукояти и минимального диаметра в области навершия превышает 8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5.5.7. Разница максимального диаметра ограничителя клиновидной рукояти и минимального диаметра в области навершия превышает 8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5.5.8. Рукоять оснащена иным защитным устройством (например, защитной дужкой) или изготовлена из материалов, обладающих повышенными адгезионными свойствами (например, из рифленой резины).</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 ТЕХНИЧЕСКИЕ ТРЕБОВАНИЯ К МАЧЕТЕ ТУРИСТИЧЕСКИМ, РАЗДЕЛОЧНЫМ.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6.1. Туристические, разделочные мачете, являющиеся изделиями хозяйственно-бытового назначения, оснащаются клинком с острием, не обеспечивающим поражающие свойства при нанесении целенаправленных колюще-режущих ударов.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6.1.1. Предельные размеры для клинков туристических, разделочных мачете: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длина от 175 до 500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Определяется размером от острия до выступающей части рукояти.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толщина не менее 1,5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Измерение производится в наиболее толстом месте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ширина (наибольшая) не менее 35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угол острия более 70 градусов.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Допускается снижение угла острия менее 70 градусов при наличии травмобезопасной рукояти в случаях, если конструктивные особенности, форма или размерные характеристики клинка: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острие чрезмерно удалено от средней линии клинка в сторону обуха или лезвия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отсутствует клиновидный сход клинка в сторону острия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отсутствует дополнительная заточка либо фаска на обухе или его скосе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ширина заточки непосредственно у острия не более 15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чрезмерная толщина клинка и т.п. не позволяют использовать мачете для нанесения целенаправленных колюще-режущих ударов (оценивается в комплексе).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6.2. Твердость клинков не менее 25 HRC.</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6.3. Клинки прямые или искривленные (по обуху), как с расширением от острия, так и без него.</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6.3.1. Клинки должны быть достаточно прочными и упругими, величина остаточной деформации при изгибе не регламентируется и может превышать 1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 Величина угла острия не регламентируется при наличии: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травмобезопасной рукояти (см. п.п. 5.5.1. — 5.5.8.) и толщине клинка не более 2,4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травмоопасной рукояти.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6.4.1 Рукоять считается травмоопасной (при отсутствии темляка), если: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6.4.2. Превышение одностороннего или двухстороннего (в сумме) ограничителя (крестовины) над череном рукояти — менее 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6.4.3. Глубина одиночной подпальцевой выемки на передней втулке или черене рукояти — менее 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6.4.4. Глубина подпальцевых выемок на передней втулке или черене рукояти, имеющем более одной подпальцевой выемки — менее 4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6.4.5. Пята клинка, выступающая в роли ограничителя имеет толщину — менее 3,5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6.4.6. Разница максимального диаметра в средней части бочкообразной рукояти и минимального диаметра в области навершия не превышает 8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6.4.7. Разница максимального диаметра ограничителя клиновидной рукояти и минимального диаметра в области навершия не превышает 8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6.4.8. Рукоять не оснащена иным защитным устройством (например, защитной дужкой).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7. ТЕХНИЧЕСКИЕ ТРЕБОВАНИЯ К ИНСТРУМЕНТАМ ДЛЯ ВОССТАНОВИТЕЛЬНЫХ и СПАСАТЕЛЬНЫХ РАБОТ (ИВСР).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7.1. Инструменты для восстановительных и спасательных работ (ИВСР), являющиеся изделиями хозяйственно-бытового назначения, оснащаются полотном, не имеющим острия.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7.1.1. Предельные размеры для полотен инструментов для восстановительных и спасательных работ (ИВСР):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длина от 220 до 500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Длина полотна определяется размером от передней кромки лезвия до защитного устройства рукояти (крестовины, дужки и т.п.), а в случае ее отсутствия до переднего торца втулки или черена рукояти.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толщина не менее 3,0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Измерение производится в наиболее толстом его месте.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ширина (наибольшая) не менее 45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7.2. Твердость клинков не менее 25 HRC</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7.3. Полотна прямые с обязательным лопатообразным расширением рабочего конца, у которого допускается скос рабочей кромки.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7.4. Полотна должны быть достаточно прочными и упругими, величина остаточной деформации при изгибе не регламентируется и может превышать 1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 МАРКИРОВКА ТЕСАКОВ ОХОТНИЧЬИХ, МАЧЕТЕ ТУРИСТИЧЕСКИХ, РАЗДЕЛОЧНЫХ И ИНСТРУМЕНТОВ ДЛЯ ВОССТАНОВИТЕЛЬНЫХ и СПАСАТЕЛЬНЫХ РАБОТ (ИВСР).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8.1. На тесаках охотничьих в соответствии с федеральным Законом ‘Об оружии’ должны быть нанесены маркировочные обозначения: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товарного знака (логотипа) предприятия-изготовителя;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регистрационного номера.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Туристические, разделочные мачете, инструменты для восстановительных и спасательных работ (ИВСР) имеют обозначение только товарного знака (логотипа) предприятия изготовителя.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8.2. Маркировочные обозначения могут наноситься на любую несъемную деталь изделия различными способами (штамповкой, гравировкой, травлением, выжиганием и др.).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8.2.1. Выбранный способ нанесения маркировочных обозначений должен обеспечивать их сохранность на весь период эксплуатации изделия.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8.3. Номера для регистрации на тесаки охотничьи импортного производства должны наноситься торговыми предприятиями, осуществляющими их оптовую или розничную продажу.</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8.4. Номер для регистрации на единичные экземпляры тесаков охотничьих, ввезенные на территорию Российской Федерации гражданами, наносятся ими самостоятельно либо в специализированных мастерских указанными способами в соответствии с пунктами 7.2 и 7.3.</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8.4.1. В качестве регистрационного в этом случае на изделие наносится номер документа, выданного соответствующими органами владельцу оружия и разрешающего приобретение, ношение и хранение гражданского холодного охотничьего клинкового оружия (охотничьего билета, лицензии на коллекционирование и т.п.).</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8.5. Аналогичным пункту 8.4 порядком наносится регистрационный номер на охотничьи тесаки, у которых по различным причинам отсутствовали маркировочные обозначения (самодельно изготовленные, с уничтоженной маркировкой, импортное оружие), принадлежащие гражданам, имеющим право на приобретение, хранение и ношение гражданского холодного охотничьего клинкового оружия.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 УПАКОВКА ТЕСАКОВ ОХОТНИЧЬИХ, МАЧЕТЕ ТУРИСТИЧЕСКИХ, РАЗДЕЛОЧНЫХ И ИНСТРУМЕНТОВ ДЛЯ ВОССТАНОВИТЕЛЬНЫХ и СПАСАТЕЛЬНЫХ РАБОТ (ИВСР).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9.1. Консервация клинков (полотен) должна производиться по ГОСТ 9. 014 (группа I, категория С) сроком хранения без переконсервации не менее 3 лет со дня отгрузки потребителю.</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9.1.1. Допускается консервацию клинков (полотен) производить путем покрытия лаком НЦ-221 по ГОСТ 4976. В данном случае к каждому мачете должна прикладываться инструкция по расконсервации.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9.2. Упаковка изделий может быть:</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поштучная;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по 5 — 25 шт. одного типоразмера;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наборами из изделий одного или разного функционального назначения;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в количестве, установленном договором между поставщиком и потребителем, если изделия реализуются через торговую сеть.</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9.3. Упаковка может производиться: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пачками в бумагу по ГОСТ 8273 или по ГОСТ 1908, в картонные коробки из картона по ГОСТ 8273 толщиной от 0,5 до 0,8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в мягкие чехлы, изготовленные из поливинилхлоридной пластифицированной пленки по ГОСТ 9993 или полиэтиленовой пленки по ГОСТ 10354;</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 картонных основаниях с применением вакуумирования.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9.3.1. Изделия, не имеющие потребительской тары, укладывают в групповую тару, предварительно завернув каждое изделие в бумагу или пленку.</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9.3.2. Для художественно оформленных и коллекционных изделий в качестве индивидуальной упаковки могут использоваться специальные футляры, изготовленные из натуральных, синтетических или комбинаций различных материалов.</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9.3.3. По согласованию изготовителя с потребителем допускаются другие виды упаковки.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9.4. На каждой упаковке должен быть нанесен маркировочный штамп или наклеена этикетка с указанием: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товарного знака (логотипа) предприятия-изготовителя;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наименования предприятия-изготовителя и его юридический адрес;</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наименование изделия и его каталожный номер;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количество изделий;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обозначение настоящего стандарта;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штампа ОТК;</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номер упаковщика и дата упаковки;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9.4.1. Дополнительно в индивидуальную упаковку изделий рекомендуется вкладывать копию информационного листка к протоколу криминалистических испытаний, выданного в Испытательной лаборатории холодного и метательного оружия ЭКЦ при МВД России, либо в ее филиалах.</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9.4. Упакованные изделия или наборы изделий укладывают в дощатые ящики по ГОСТ 2991. Ящики внутри должны быть выстланы водонепроницаемой бумагой по ГОСТ 8828 или битумной по ГОСТ 515.</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9.4.1. По согласованию изготовителя с потребителем допускается другая упаковка, обеспечивающая сохранность изделий при транспортировки и хранении.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9.5. В транспортную тару вместе с изделиями вкладывают упаковочный лист, содержащий: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номер упаковочного листа и партии;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наименование предприятия-изготовителя (или его аббревиатура) и его местоположение (юридический адрес);</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наименование изделий;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количество изделий;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массу нетто-брутто;</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номер упаковщика и дату упаковки.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9.6. Этикетки, упаковочные листы должны быть выполнены типографским способом, кроме штампа ОТК, номера упаковщика и даты упаковки, которые проставляются резиновым штампом.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9.6.1. Для изделий, произведенных в Российской Федерации и предназначенных на экспорт, указанные надписи на коробках могут дублироваться на английском языке (или ином языке — по требованию заказчика).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9.7. Масса ящика (брутто) должна быть не более 30 кг.</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 ПРАВИЛА ПРИЕМКИ ТЕСАКОВ ОХОТНИЧЬИХ, МАЧЕТЕ ТУРИСТИЧЕСКИХ, РАЗДЕЛОЧНЫХ И ИНСТРУМЕНТОВ ДЛЯ ВОССТАНОВИТЕЛЬНЫХ и СПАСАТЕЛЬНЫХ РАБОТ (ИВСР).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10.1. Каждое изделие, выпущенное предприятием-изготовителем или мастером, должно быть проверено на соответствие техническим требованиям настоящего ГОСТа.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10.2. Изделия принимаются партиями. Партия должна состоять из изделий одного типоразмера, одинаковой отделки и должна быть оформлена одним документом о качестве, содержащим: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наименование или товарный знак (логотип) предприятия-изготовителя;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наименование изделия;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количество изделий;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обозначение настоящего стандарта;</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штамп ОТК;</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номер упаковщика и дату упаковки;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знак соответствия по ГОСТ Р 50460 при сертификации изделий.</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Партией считается любое количество изделий, предъявленных к сдаче одновременно и оформленное одним документом.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10.3. Проверке внешнего вида подвергают 100 % мачете партии.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10.4. Проверке размеров, твердости, упругости, прочности и жесткости узла крепления рукоятей, качества заточки изделий, шероховатости поверхностей подвергают 0,1 % от партии, но не менее 5 штук.</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10.5. Проверке влажности деревянных рукоятей и теплостойкости пластмассовых рукоятей подвергают 0,01 % мачете от партии, но не менее 3 штук.</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10.6. При неудовлетворительных результатах проверки хотя бы по одному из показателей настоящего стандарта проводят повторную проверку удвоенного количества изделий, взятых от той же партии методом случайной выборки.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10.6.1. При неудовлетворительных результатах повторной выборки вся партия бракуется. Потребителям продукции должны быть направлены письма с уведомлением о приостановке ее реализации и проведении проверки на соответствие требованиям настоящего ГОСТа 100% изделий данного предприятия-изготовителя, находящихся в розничной продаже.</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10.7. Изготовители, производящие охотничьи тесаки, туристические или разделочные мачете, инструменты для восстановительных и спасательных работ (ИВСР) небольшими по количеству изделий партиями, должны обеспечить 100% технический контроль качества своих изделий и соответствие их требованиям настоящего ГОСТа, о чем могут сделать отметку во вкладыше индивидуальной упаковки каждого изделия.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10.8. Постоянный технический контроль качества импортных изделий осуществляет непосредственно иностранное предприятие-изготовитель.</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10.9. Контроль импортных изделий осуществляется при сертификации образцов продукции, поступающих для оборота на территории Российской Федерации, а также самостоятельно торгово-закупочными и торговыми предприятиями изделий, прошедших ранее в установленном порядке Российскую сертификацию, вновь при заключении договоров о поставке и последующем контроле качества, полученной по ним импортной продукции.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10.10. Ответственность за несоответствие импортных изделий, поступивших для оборота на территории Российской Федерации, требованиям настоящего ГОСТа несут торговые предприятия, осуществляющие их оптовую и (или) розничную реализацию в России.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10.11. Тесаки охотничьи, мачете туристические, разделочные и инструменты для восстановительных и спасательных работ (ИВСР) изготовленные для экспорта, могут не соответствовать требованиям настоящего ГОСТа и производиться предприятиями-изготовителями по техническим требованиям заказчика (например, по типу военных образцов мачете и др.).</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10.12. Потребитель обязан произвести контрольную проверку 1% изделий, но не менее 5 штук одного типоразмера, взятых из партии путем случайной выборки.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10.13. Если при контрольной проверке обнаружится, что хотя бы одно изделие не соответствует требованиям настоящего ГОСТа, то должна быть проведена проверка удвоенного количества изделий, взятых из той же партии путем случайной выборки.</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10.14. Если при проверке удвоенного количества изделий обнаружится, что хотя бы одно изделие не соответствует требованиям настоящего ГОСТа, то вся партия бракуется.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11. МЕТОДЫ КОНТРОЛЯ.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11.1. Проверку внешнего вида изделий производят визуально, путем сравнения с образцом-эталоном.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11.2. Проверка основных линейных и угловых размеров должна производиться поверенным универсальным мерительным инструментом, обеспечивающим заданную точность линейных измерений (по ГОСТ 427), угловых измерений (по ГОСТ 166 или шаблоном).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Примечание. Точность измерения:</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линейных размеров, глубины повреждений и остаточных деформаций — 0,1 мм;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 величины углов – 1град.</w:t>
      </w:r>
    </w:p>
    <w:p w:rsidR="00000000" w:rsidDel="00000000" w:rsidP="00000000" w:rsidRDefault="00000000" w:rsidRPr="00000000">
      <w:pPr>
        <w:spacing w:after="300" w:line="276" w:lineRule="auto"/>
        <w:contextualSpacing w:val="0"/>
      </w:pPr>
      <w:r w:rsidDel="00000000" w:rsidR="00000000" w:rsidRPr="00000000">
        <w:rPr>
          <w:rtl w:val="0"/>
        </w:rPr>
        <w:t xml:space="preserve">11.3.1. При длине клинка охотничьего тесака 210 мм его боевой конец (острие) отгибается на 15 мм. С увеличением длины клинка на каждые 25 мм, величина отгиба увеличивается на 2 мм. После испытания на клинке не должно быть остаточных деформаций, превышающих 1 мм.</w:t>
      </w:r>
    </w:p>
    <w:p w:rsidR="00000000" w:rsidDel="00000000" w:rsidP="00000000" w:rsidRDefault="00000000" w:rsidRPr="00000000">
      <w:pPr>
        <w:spacing w:after="300" w:line="276" w:lineRule="auto"/>
        <w:contextualSpacing w:val="0"/>
      </w:pPr>
      <w:r w:rsidDel="00000000" w:rsidR="00000000" w:rsidRPr="00000000">
        <w:rPr>
          <w:rtl w:val="0"/>
        </w:rPr>
        <w:t xml:space="preserve">Примечание. Величина остаточной деформации клинков туристических мачете и полотен устройств для выполнения спасательных работ (УВСР) не регламентируется.</w:t>
      </w:r>
    </w:p>
    <w:p w:rsidR="00000000" w:rsidDel="00000000" w:rsidP="00000000" w:rsidRDefault="00000000" w:rsidRPr="00000000">
      <w:pPr>
        <w:spacing w:after="300" w:line="276" w:lineRule="auto"/>
        <w:contextualSpacing w:val="0"/>
      </w:pPr>
      <w:r w:rsidDel="00000000" w:rsidR="00000000" w:rsidRPr="00000000">
        <w:rPr>
          <w:rtl w:val="0"/>
        </w:rPr>
        <w:t xml:space="preserve">11.4. Проверка твердости клинков (полотен) должна производиться по ГОСТ 9013 на приборе для измерения твердости по методу Роквелла.</w:t>
      </w:r>
    </w:p>
    <w:p w:rsidR="00000000" w:rsidDel="00000000" w:rsidP="00000000" w:rsidRDefault="00000000" w:rsidRPr="00000000">
      <w:pPr>
        <w:spacing w:after="300" w:line="276" w:lineRule="auto"/>
        <w:contextualSpacing w:val="0"/>
      </w:pPr>
      <w:r w:rsidDel="00000000" w:rsidR="00000000" w:rsidRPr="00000000">
        <w:rPr>
          <w:rtl w:val="0"/>
        </w:rPr>
        <w:t xml:space="preserve">11.5. Проверка степени заточки клинка (полотна) проводиться путем пятикратного среза березовой палочки диаметром 10-12 мм и влажностью не более 12% (естественная влажность комнатно-сухой древесины), при этом оценивается состояние поверхности срезов, которые должны быть ровными, без задиров.</w:t>
      </w:r>
    </w:p>
    <w:p w:rsidR="00000000" w:rsidDel="00000000" w:rsidP="00000000" w:rsidRDefault="00000000" w:rsidRPr="00000000">
      <w:pPr>
        <w:spacing w:after="300" w:line="276" w:lineRule="auto"/>
        <w:contextualSpacing w:val="0"/>
      </w:pPr>
      <w:r w:rsidDel="00000000" w:rsidR="00000000" w:rsidRPr="00000000">
        <w:rPr>
          <w:rtl w:val="0"/>
        </w:rPr>
        <w:t xml:space="preserve">11.6. Обязательным является проверка тесаков охотничьих на безопасность и удобство целевого использования в качестве холодного клинкового оружия, в связи с чем проверяются: удобство удержания оружия в руке, безопасность нанесения различных по силе и направлению ударов (эффективность защитных устройств рукояти).</w:t>
      </w:r>
    </w:p>
    <w:p w:rsidR="00000000" w:rsidDel="00000000" w:rsidP="00000000" w:rsidRDefault="00000000" w:rsidRPr="00000000">
      <w:pPr>
        <w:spacing w:after="300" w:line="276" w:lineRule="auto"/>
        <w:contextualSpacing w:val="0"/>
      </w:pPr>
      <w:r w:rsidDel="00000000" w:rsidR="00000000" w:rsidRPr="00000000">
        <w:rPr>
          <w:rtl w:val="0"/>
        </w:rPr>
        <w:t xml:space="preserve">11.7. Для проверки прочности конструкции тесаков охотничьих проводятся в обязательном порядке испытания, в процессе которых устанавливается возможность неоднократного поражения ими цели без разрушения.</w:t>
      </w:r>
    </w:p>
    <w:p w:rsidR="00000000" w:rsidDel="00000000" w:rsidP="00000000" w:rsidRDefault="00000000" w:rsidRPr="00000000">
      <w:pPr>
        <w:spacing w:after="300" w:line="276" w:lineRule="auto"/>
        <w:contextualSpacing w:val="0"/>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pPr>
      <w:r w:rsidDel="00000000" w:rsidR="00000000" w:rsidRPr="00000000">
        <w:rPr>
          <w:rtl w:val="0"/>
        </w:rPr>
        <w:t xml:space="preserve">11.7.1. При неоднократном (от 10 до 50 раз подряд) применении оружия (ударов охотничьим тесаком, наносимых под различными углами в мишень рукой человека или специальным устройством с силой удара от 20 до 50 джоулей) фиксируется наличие или отсутствие разрушения конструкции в целом или отдельных деталей.</w:t>
      </w:r>
    </w:p>
    <w:p w:rsidR="00000000" w:rsidDel="00000000" w:rsidP="00000000" w:rsidRDefault="00000000" w:rsidRPr="00000000">
      <w:pPr>
        <w:spacing w:after="300" w:line="276" w:lineRule="auto"/>
        <w:contextualSpacing w:val="0"/>
      </w:pPr>
      <w:r w:rsidDel="00000000" w:rsidR="00000000" w:rsidRPr="00000000">
        <w:rPr>
          <w:rtl w:val="0"/>
        </w:rPr>
        <w:t xml:space="preserve">11.7.2. Для проверки клинков охотничьих тесаков на хрупкость, последними наносятся со средней силой (энергия удара 20-30 джоулей) два-три удара плашмя всей боковой поверхностью по плоской сосновой доске шириной 150 — 200 мм и толщиной 30 — 50 мм. Растрескивание и выкрашивание металла клинка после испытаний не допускается.</w:t>
      </w:r>
    </w:p>
    <w:p w:rsidR="00000000" w:rsidDel="00000000" w:rsidP="00000000" w:rsidRDefault="00000000" w:rsidRPr="00000000">
      <w:pPr>
        <w:spacing w:after="300" w:line="276" w:lineRule="auto"/>
        <w:contextualSpacing w:val="0"/>
      </w:pPr>
      <w:r w:rsidDel="00000000" w:rsidR="00000000" w:rsidRPr="00000000">
        <w:rPr>
          <w:rtl w:val="0"/>
        </w:rPr>
        <w:t xml:space="preserve">11.7.3. Для проверки прочности присадки клинков охотничьих тесаков к рукоятям необходимо нанести пять достаточно сильных рубяще-режущих ударов (соотносимых с ударами, рассчитанными на поражение человека, с энергией 20 — 50 джоулей) поперек сухого соснового бревна диаметром не менее 120 мм. Наличие люфта в месте соединения клинка и рукояти после проведенных испытаний не допускается.</w:t>
      </w:r>
    </w:p>
    <w:p w:rsidR="00000000" w:rsidDel="00000000" w:rsidP="00000000" w:rsidRDefault="00000000" w:rsidRPr="00000000">
      <w:pPr>
        <w:spacing w:after="300" w:line="276" w:lineRule="auto"/>
        <w:contextualSpacing w:val="0"/>
      </w:pPr>
      <w:r w:rsidDel="00000000" w:rsidR="00000000" w:rsidRPr="00000000">
        <w:rPr>
          <w:rtl w:val="0"/>
        </w:rPr>
        <w:t xml:space="preserve">Примечание. В качестве мишени используется сухая сосновая доска (с влажностью древесины не более 12%) толщиной 30 — 50 мм, установленная в вертикальном и горизонтальном положении на мягкой подложке, сосновое бревно диаметром не менее 120 мм, изделие ‘Мишень’ — имитатор тканей человека.</w:t>
      </w:r>
    </w:p>
    <w:p w:rsidR="00000000" w:rsidDel="00000000" w:rsidP="00000000" w:rsidRDefault="00000000" w:rsidRPr="00000000">
      <w:pPr>
        <w:spacing w:after="300" w:line="276" w:lineRule="auto"/>
        <w:contextualSpacing w:val="0"/>
      </w:pPr>
      <w:r w:rsidDel="00000000" w:rsidR="00000000" w:rsidRPr="00000000">
        <w:rPr>
          <w:rtl w:val="0"/>
        </w:rPr>
        <w:t xml:space="preserve">11.7.4. Полученные при испытаниях результаты оцениваются по степени их влияния:</w:t>
      </w:r>
    </w:p>
    <w:p w:rsidR="00000000" w:rsidDel="00000000" w:rsidP="00000000" w:rsidRDefault="00000000" w:rsidRPr="00000000">
      <w:pPr>
        <w:spacing w:after="300" w:line="276" w:lineRule="auto"/>
        <w:contextualSpacing w:val="0"/>
      </w:pPr>
      <w:r w:rsidDel="00000000" w:rsidR="00000000" w:rsidRPr="00000000">
        <w:rPr>
          <w:rtl w:val="0"/>
        </w:rPr>
        <w:t xml:space="preserve">— на прочность конструкции оружия;</w:t>
      </w:r>
    </w:p>
    <w:p w:rsidR="00000000" w:rsidDel="00000000" w:rsidP="00000000" w:rsidRDefault="00000000" w:rsidRPr="00000000">
      <w:pPr>
        <w:spacing w:after="300" w:line="276" w:lineRule="auto"/>
        <w:contextualSpacing w:val="0"/>
      </w:pPr>
      <w:r w:rsidDel="00000000" w:rsidR="00000000" w:rsidRPr="00000000">
        <w:rPr>
          <w:rtl w:val="0"/>
        </w:rPr>
        <w:t xml:space="preserve">— возможность его многократного применения;</w:t>
      </w:r>
    </w:p>
    <w:p w:rsidR="00000000" w:rsidDel="00000000" w:rsidP="00000000" w:rsidRDefault="00000000" w:rsidRPr="00000000">
      <w:pPr>
        <w:spacing w:after="300" w:line="276" w:lineRule="auto"/>
        <w:contextualSpacing w:val="0"/>
      </w:pPr>
      <w:r w:rsidDel="00000000" w:rsidR="00000000" w:rsidRPr="00000000">
        <w:rPr>
          <w:rtl w:val="0"/>
        </w:rPr>
        <w:t xml:space="preserve">— снижение поражающих свойств.</w:t>
      </w:r>
    </w:p>
    <w:p w:rsidR="00000000" w:rsidDel="00000000" w:rsidP="00000000" w:rsidRDefault="00000000" w:rsidRPr="00000000">
      <w:pPr>
        <w:spacing w:after="300" w:line="276" w:lineRule="auto"/>
        <w:contextualSpacing w:val="0"/>
      </w:pPr>
      <w:r w:rsidDel="00000000" w:rsidR="00000000" w:rsidRPr="00000000">
        <w:rPr>
          <w:rtl w:val="0"/>
        </w:rPr>
        <w:t xml:space="preserve">11.8. Проверяется достаточность поражающих свойств тесаков охотничьих, которая устанавливается по относительной глубине повреждений, полученных в результате нанесения с силой удара от 20 до 50 джоулей колющих ударов, в мишени:</w:t>
      </w:r>
    </w:p>
    <w:p w:rsidR="00000000" w:rsidDel="00000000" w:rsidP="00000000" w:rsidRDefault="00000000" w:rsidRPr="00000000">
      <w:pPr>
        <w:spacing w:after="300" w:line="276" w:lineRule="auto"/>
        <w:contextualSpacing w:val="0"/>
      </w:pPr>
      <w:r w:rsidDel="00000000" w:rsidR="00000000" w:rsidRPr="00000000">
        <w:rPr>
          <w:rtl w:val="0"/>
        </w:rPr>
        <w:t xml:space="preserve">— специальной пластиковой ‘Мишени’, имитирующей мышечные ткани человека, установленной в вертикальном и горизонтальном положении, при этом глубина внедрения клинка должна быть не менее 20 мм.</w:t>
      </w:r>
    </w:p>
    <w:p w:rsidR="00000000" w:rsidDel="00000000" w:rsidP="00000000" w:rsidRDefault="00000000" w:rsidRPr="00000000">
      <w:pPr>
        <w:spacing w:after="300" w:line="276" w:lineRule="auto"/>
        <w:contextualSpacing w:val="0"/>
      </w:pPr>
      <w:r w:rsidDel="00000000" w:rsidR="00000000" w:rsidRPr="00000000">
        <w:rPr>
          <w:rtl w:val="0"/>
        </w:rPr>
        <w:t xml:space="preserve">— сухой сосновой доске толщиной 30 — 50 мм, установленной в вертикальном и горизонтальном положении на мягкой подложке, при этом глубина внедрения клинка в доску (при поперечном расположении волокон древесины) должна быть не менее 10 мм;</w:t>
      </w:r>
    </w:p>
    <w:p w:rsidR="00000000" w:rsidDel="00000000" w:rsidP="00000000" w:rsidRDefault="00000000" w:rsidRPr="00000000">
      <w:pPr>
        <w:spacing w:after="300" w:line="276" w:lineRule="auto"/>
        <w:contextualSpacing w:val="0"/>
      </w:pPr>
      <w:r w:rsidDel="00000000" w:rsidR="00000000" w:rsidRPr="00000000">
        <w:rPr>
          <w:rtl w:val="0"/>
        </w:rPr>
        <w:t xml:space="preserve">12. ХРАНЕНИЕ И ТРАНСПОРТИРОВАНИЕ.</w:t>
      </w:r>
    </w:p>
    <w:p w:rsidR="00000000" w:rsidDel="00000000" w:rsidP="00000000" w:rsidRDefault="00000000" w:rsidRPr="00000000">
      <w:pPr>
        <w:spacing w:after="300" w:line="276" w:lineRule="auto"/>
        <w:contextualSpacing w:val="0"/>
      </w:pPr>
      <w:r w:rsidDel="00000000" w:rsidR="00000000" w:rsidRPr="00000000">
        <w:rPr>
          <w:rtl w:val="0"/>
        </w:rPr>
        <w:t xml:space="preserve">12.1. Хранение готовых изделий должно осуществляться в упакованном виде в вентилируемых помещениях с влажностью воздуха не более 75%, при отсутствии паров кислот и щелочей в воздухе.</w:t>
      </w:r>
    </w:p>
    <w:p w:rsidR="00000000" w:rsidDel="00000000" w:rsidP="00000000" w:rsidRDefault="00000000" w:rsidRPr="00000000">
      <w:pPr>
        <w:spacing w:after="300" w:line="276" w:lineRule="auto"/>
        <w:contextualSpacing w:val="0"/>
      </w:pPr>
      <w:r w:rsidDel="00000000" w:rsidR="00000000" w:rsidRPr="00000000">
        <w:rPr>
          <w:rtl w:val="0"/>
        </w:rPr>
        <w:t xml:space="preserve">12.2. Хранение охотничьих тесаков осуществляется в специальных складских помещениях, оборудованных в соответствии с требованиями федерального Закона ‘Об оружии’ и других нормативных и ведомственных документов, регламентирующих оборот гражданского охотничьего холодного клинкового оружия.</w:t>
      </w:r>
    </w:p>
    <w:p w:rsidR="00000000" w:rsidDel="00000000" w:rsidP="00000000" w:rsidRDefault="00000000" w:rsidRPr="00000000">
      <w:pPr>
        <w:spacing w:after="300" w:line="276" w:lineRule="auto"/>
        <w:contextualSpacing w:val="0"/>
      </w:pPr>
      <w:r w:rsidDel="00000000" w:rsidR="00000000" w:rsidRPr="00000000">
        <w:rPr>
          <w:rtl w:val="0"/>
        </w:rPr>
        <w:t xml:space="preserve">ГОСТ Р -2002</w:t>
      </w:r>
    </w:p>
    <w:p w:rsidR="00000000" w:rsidDel="00000000" w:rsidP="00000000" w:rsidRDefault="00000000" w:rsidRPr="00000000">
      <w:pPr>
        <w:spacing w:after="300" w:line="276" w:lineRule="auto"/>
        <w:contextualSpacing w:val="0"/>
      </w:pPr>
      <w:r w:rsidDel="00000000" w:rsidR="00000000" w:rsidRPr="00000000">
        <w:rPr>
          <w:rtl w:val="0"/>
        </w:rPr>
        <w:t xml:space="preserve">12.3. Транспортирование упакованных изделий производится любым видом транспорта в соответствии с правилами перевозки грузов, действующими на данном виде транспорта.</w:t>
      </w:r>
    </w:p>
    <w:p w:rsidR="00000000" w:rsidDel="00000000" w:rsidP="00000000" w:rsidRDefault="00000000" w:rsidRPr="00000000">
      <w:pPr>
        <w:spacing w:after="300" w:line="276" w:lineRule="auto"/>
        <w:contextualSpacing w:val="0"/>
      </w:pPr>
      <w:r w:rsidDel="00000000" w:rsidR="00000000" w:rsidRPr="00000000">
        <w:rPr>
          <w:rtl w:val="0"/>
        </w:rPr>
        <w:t xml:space="preserve">12.3.1. Транспортирование охотничьих тесаков осуществляется в упакованном виде в соответствии с правилами и требованиями, установленными федеральным Законом ‘Об оружии’ и другими нормативными и ведомственными документами, регламентирующими оборот гражданского охотничьего холодного клинкового оружия.</w:t>
      </w:r>
    </w:p>
    <w:p w:rsidR="00000000" w:rsidDel="00000000" w:rsidP="00000000" w:rsidRDefault="00000000" w:rsidRPr="00000000">
      <w:pPr>
        <w:spacing w:after="300" w:line="276" w:lineRule="auto"/>
        <w:contextualSpacing w:val="0"/>
      </w:pPr>
      <w:r w:rsidDel="00000000" w:rsidR="00000000" w:rsidRPr="00000000">
        <w:rPr>
          <w:rtl w:val="0"/>
        </w:rPr>
        <w:t xml:space="preserve">13. ГАРАНТИЙНЫЕ ОБЯЗАТЕЛЬСТВА.</w:t>
      </w:r>
    </w:p>
    <w:p w:rsidR="00000000" w:rsidDel="00000000" w:rsidP="00000000" w:rsidRDefault="00000000" w:rsidRPr="00000000">
      <w:pPr>
        <w:spacing w:after="300" w:line="276" w:lineRule="auto"/>
        <w:contextualSpacing w:val="0"/>
      </w:pPr>
      <w:r w:rsidDel="00000000" w:rsidR="00000000" w:rsidRPr="00000000">
        <w:rPr>
          <w:rtl w:val="0"/>
        </w:rPr>
        <w:t xml:space="preserve">13.1. Изготовитель гарантирует соответствие изделий требованиям настоящего стандарта.</w:t>
      </w:r>
    </w:p>
    <w:p w:rsidR="00000000" w:rsidDel="00000000" w:rsidP="00000000" w:rsidRDefault="00000000" w:rsidRPr="00000000">
      <w:pPr>
        <w:spacing w:after="300" w:line="276" w:lineRule="auto"/>
        <w:contextualSpacing w:val="0"/>
      </w:pPr>
      <w:r w:rsidDel="00000000" w:rsidR="00000000" w:rsidRPr="00000000">
        <w:rPr>
          <w:rtl w:val="0"/>
        </w:rPr>
        <w:t xml:space="preserve">13.2. Гарантийный срок эксплуатации — не менее 12 месяцев со дня продажи их магазином при соблюдении условий транспортирования и хранения, установленным настоящим стандартом.</w:t>
      </w:r>
    </w:p>
    <w:p w:rsidR="00000000" w:rsidDel="00000000" w:rsidP="00000000" w:rsidRDefault="00000000" w:rsidRPr="00000000">
      <w:pPr>
        <w:spacing w:after="300" w:line="276" w:lineRule="auto"/>
        <w:contextualSpacing w:val="0"/>
        <w:jc w:val="both"/>
      </w:pPr>
      <w:r w:rsidDel="00000000" w:rsidR="00000000" w:rsidRPr="00000000">
        <w:rPr>
          <w:rtl w:val="0"/>
        </w:rPr>
        <w:t xml:space="preserve">13.3. Торговое предприятие не может установить гарантийный срок эксплуатации реализуемого изделия менее, чем он определен самим изготовителем в сопроводительных документах (сертификатах качества, обязательствах фирмы и т.п.) либо на упаковке изделий.</w:t>
      </w:r>
    </w:p>
    <w:p w:rsidR="00000000" w:rsidDel="00000000" w:rsidP="00000000" w:rsidRDefault="00000000" w:rsidRPr="00000000">
      <w:pPr>
        <w:spacing w:line="276" w:lineRule="auto"/>
        <w:contextualSpacing w:val="0"/>
      </w:pPr>
      <w:r w:rsidDel="00000000" w:rsidR="00000000" w:rsidRPr="00000000">
        <w:rPr>
          <w:rtl w:val="0"/>
        </w:rPr>
      </w:r>
    </w:p>
    <w:sectPr>
      <w:pgSz w:h="16838" w:w="11906"/>
      <w:pgMar w:bottom="566.9291338582677" w:top="566.9291338582677" w:left="566.9291338582677" w:right="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