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00" w:line="276" w:lineRule="auto"/>
        <w:contextualSpacing w:val="0"/>
        <w:jc w:val="center"/>
      </w:pPr>
      <w:r w:rsidDel="00000000" w:rsidR="00000000" w:rsidRPr="00000000">
        <w:rPr>
          <w:b w:val="1"/>
          <w:rtl w:val="0"/>
        </w:rPr>
        <w:t xml:space="preserve">ГОСУДАРСТВЕННЫЙ СТАНДАРТ РОССИЙСКОЙ ФЕДЕРАЦИИ</w:t>
      </w:r>
    </w:p>
    <w:p w:rsidR="00000000" w:rsidDel="00000000" w:rsidP="00000000" w:rsidRDefault="00000000" w:rsidRPr="00000000">
      <w:pPr>
        <w:spacing w:after="300" w:line="276" w:lineRule="auto"/>
        <w:contextualSpacing w:val="0"/>
        <w:jc w:val="center"/>
      </w:pPr>
      <w:r w:rsidDel="00000000" w:rsidR="00000000" w:rsidRPr="00000000">
        <w:rPr>
          <w:b w:val="1"/>
          <w:rtl w:val="0"/>
        </w:rPr>
        <w:t xml:space="preserve">ГОСТ Р 51548-2000</w:t>
      </w:r>
    </w:p>
    <w:p w:rsidR="00000000" w:rsidDel="00000000" w:rsidP="00000000" w:rsidRDefault="00000000" w:rsidRPr="00000000">
      <w:pPr>
        <w:spacing w:after="300" w:line="276" w:lineRule="auto"/>
        <w:contextualSpacing w:val="0"/>
        <w:jc w:val="center"/>
      </w:pPr>
      <w:r w:rsidDel="00000000" w:rsidR="00000000" w:rsidRPr="00000000">
        <w:rPr>
          <w:b w:val="1"/>
          <w:rtl w:val="0"/>
        </w:rPr>
        <w:t xml:space="preserve">«НОЖИ ДЛЯ ВЫЖИВАНИЯ».</w:t>
      </w:r>
    </w:p>
    <w:p w:rsidR="00000000" w:rsidDel="00000000" w:rsidP="00000000" w:rsidRDefault="00000000" w:rsidRPr="00000000">
      <w:pPr>
        <w:spacing w:after="300" w:line="276" w:lineRule="auto"/>
        <w:contextualSpacing w:val="0"/>
        <w:jc w:val="center"/>
      </w:pPr>
      <w:r w:rsidDel="00000000" w:rsidR="00000000" w:rsidRPr="00000000">
        <w:rPr>
          <w:b w:val="1"/>
          <w:i w:val="1"/>
          <w:rtl w:val="0"/>
        </w:rPr>
        <w:t xml:space="preserve">Общие технические условия.</w:t>
      </w:r>
    </w:p>
    <w:p w:rsidR="00000000" w:rsidDel="00000000" w:rsidP="00000000" w:rsidRDefault="00000000" w:rsidRPr="00000000">
      <w:pPr>
        <w:spacing w:after="300" w:line="276" w:lineRule="auto"/>
        <w:contextualSpacing w:val="0"/>
        <w:jc w:val="center"/>
      </w:pPr>
      <w:r w:rsidDel="00000000" w:rsidR="00000000" w:rsidRPr="00000000">
        <w:rPr>
          <w:i w:val="1"/>
          <w:rtl w:val="0"/>
        </w:rPr>
        <w:t xml:space="preserve">Дата введения 2000 год.</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 ОБЛАСТЬ ПРИМЕНЕНИЯ.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Настоящий стандарт распространяется на ножи для выживания, являющиеся предметами как охотничьего снаряжения, предназначенные для использования в условиях промысловой или спортивной охоты в качестве ножей охотничьих, так и для использования в тяжелых (экстремальных) походных условиях, путешествиях и занятиях спортивным туризмом, в том числе, его специальными видами (альпинизмом и водным туризмом).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1.1. Ножи для выживания относятся к гражданскому холодному клинковому оружию.</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1.2. Основное назначение ножей для выживания как оружия является поражение и добивание зверя (в том числе морского зверя или крупной рыбы), защита при его нападении или нападении вооруженного человека.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Ножи для выживания и их принадлежности применяются и для хозяйственных целей в качестве набора инструментов и приспособлений с целью обеспечения выживания человека в экстремальных походных условиях и на промысловой или спортивной охоте (например, при: заготовке дров; расчистке прохода или площадки; установке палатки или шалаша; разделке туш и снятии шкур; ловле рыбы; ориентировании на местности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1.3. Ножи для выживания в соответствии с требованиями федерального Закона ‘Об оружии’ подлежат обязательной сертификации, в рамках которой проводятся их испытания на соответствие криминалистическим требованиям.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1.4. Настоящий стандарт устанавливает конструктивные и технические требования к ножам для выживания в соответствии с федеральным Законом ‘Об оружии’, а также другими нормативными документами, регламентирующими их оборот в Российской Федерации, виды и методы контроля на соответствие конструктивным и техническим требованиям.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1.5. Стандарт распространяется на все ножи для выживания (в том числе и на импортное холодное оружие).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1.5.1. На изделия, изготовленные самодельным способом, распространяются конструктивные и технические требования, установленные настоящим стандартом, а также виды и методы контроля, только в части установления и оценки их соответствия ножам для выживания, относящимся к гражданскому холодному клинковому оружию, при проведении криминалистических исследований и экспертиз.</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1.5.2. Все требования настоящего стандарта являются обязательными.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2. НОРМАТИВНЫЕ ССЫЛКИ.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В настоящем стандарте использованы ссылки на следующие стандарты: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51215-98 ‘Оружие холодное. Термины и определения’, М. 1998 г.;</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166-80 Штангенциркули.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427-75 Линейки измерительные металлические.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9013-59 (стандарты ИСО 2039/2-81; DIN 50103; ASTM Е 18-74) ‘Металлы. Методы испытаний. Измерение твердости по Роквеллу’.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 ОПРЕДЕЛЕНИЯ.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В настоящем стандарте применяют следующие термины с соответствующими определениями: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 Холодное оружие — оружие, конструктивно предназначенное для поражения живой цели с помощью мускульной силы человека;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 Тип холодного оружия — группа образцов холодного оружия, характеризующаяся одинаковым комплексом конструктивных признаков;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 Клинковое холодное оружие — холодное оружие, имеющее боевую часть в виде клинка, прочно и неподвижно соединенных с рукоятью;</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3.4. Колюще-режущее холодное оружие — холодное оружие, боевая часть которого формирует колото-резанное повреждение;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3.5. Гражданское холодное оружие — холодное оружие, разрешенное законодательством для использования гражданами;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3.6. Охотничье холодное оружие — гражданское холодное оружие, предназначенное для поражения зверя на охоте;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3.7. Военное холодное оружие — холодное оружие, состоявшее или состоящее на вооружении государственных военизированных организаций, воинов и воинских формирований прошлого;</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3.8. Импортное холодное оружие — холодное оружие иностранного производства, разрешенное к обороту в Российской Федерации;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3.9. Художественное холодное оружие — холодное оружие, изготовленное с применением приемов, техники и (или) материалов, придающих изделию художественную ценность;</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Художественная ценность холодного оружия устанавливается на основании официального заключения уполномоченных государством органов.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3.10. Боевой нож — контактное клинковое колюще-режущее оружие с коротким однолезвийным клинком;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3.11. Кинжал — контактное, клинковое, колюще-режущее оружие с коротким или средним прямым или изогнутым двулезвийным клинком;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3.12. Охотничий нож (кинжал) — боевой нож (кинжал), предназначенный для поражения зверя на охоте;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3.13. Боевая часть (холодного оружия) — часть холодного оружия, непосредственно поражающая цель;</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3.14. Клинок — протяженная металлическая боевая часть холодного оружия с острием и одним или двумя лезвиями, являющаяся частью полосы;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3.15. Пята — незатачиваемая часть клинка, расположенная между лезвием и рукоятью;</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3.16. Обух клинка — незаточенный край однолезвийного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3.17. Скос обуха — часть обуха, наклоненная в сторону лезвия и образующая с ним острие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3.18. Пила обуха — ряд заточенных зубьев на обухе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3.19. Ребро жесткости — ребро клинка кинжала, образованное сопряжением его граней, существенно повышающее прочность клинка на излом;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3.20. Наконечник — металлическая или из иного прочного материала боевая часть холодного оружия, имеющая зуб (зубья) и крепящаяся на конце древка с помощью насада;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3.21. Зуб (наконечника) — верхняя часть наконечника с острием, имеющая в поперечном сечении круг, овал, многоугольник или иную фигуру;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3.22. Насад — нижняя часть наконечника, предназначенная для его крепления на конце древка;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3.23. Лезвие — заточенный край боевой части холодного оружия, представляющая собой ребро с острым углом спряжения поверхностей;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3.24. Острие — конец боевой части холодного оружия, стягивающийся в точку, короткое лезвие или грань с максимальным размером до 3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3.25. Хвостовик — часть полосы, служащая для крепления рукояти;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3.26. Рукоять — часть холодного оружия с помощью которой оно удерживается рукою и управляется при применении;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3.27. Черен — основная часть рукояти непосредственно захватываемая рукой;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3.28. Ограничитель рукояти — передняя расширенная часть рукояти, примыкающая к черену;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3.29. Навершие — задняя часть рукояти, примыкающая к черену и отличающаяся от него по форме;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3.30. Плашки рукояти — детали рукояти в виде накладок;</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3.31. Втулка рукояти — металлическая деталь, охватывающая черен с одного или обоих концов;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3.32. Полость рукояти — плотно закрывающееся внутреннее пространство в рукояти оружия, предназначенное для помещения в него принадлежностей;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3.33. Темляк — прочная петля из кожи или иного материала, крепящаяся к рукояти и одеваемая на запястье руки, удерживающей оружие;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3.34. Ножны — футляр для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3.35. Нож для выживания — нож, рукоять которого содержит конструктивные элементы, позволяющие выполнять хозяйственные функции.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 Рукоять ножа для выживания может иметь полость с набором принадлежностей;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2. К холодному оружию относятся только те ножи для выживания, которые соответствуют признакам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 КОНСТРУКТИВНЫЕ ОСОБЕННОСТИ НОЖЕЙ ДЛЯ ВЫЖИВАНИЯ.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 Ножи для выживания по своей конструкции подразделяются на два типа: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неразборные (в том числе, трансформирующиеся);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разборные (в том числе, со съемными, сменными клинками и предметами).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 Конструкции ножей для выживания базируются на конструкциях соответствующих военных боевых ножей для выживания в экстремальных условиях и нескладных охотничьих ножей.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4.3. Не допускается изготовление складных ножей для выживания.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4.4. Ножи для выживания должны состоять из клинка и рукояти; иметь ограничитель, либо подпальцевые выемки на рукояти, обеспечивающие прочное удержание ножа при нанесении поражающих колющих ударов и безопасность применения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4.5. Соединение клинков ножей для выживания с рукоятями (в т.ч. шарнирное у трансформирующихся) должно быть плотным и прочным.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4.6. У разборных (в том числе, со съемными, сменными клинками) ножей для выживания прочность крепления клинка с рукоятью должно обеспечиваться соответствующими резьбовыми (или иными) соединениями.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4.7. На поверхностях клинков, металлических и иных деталях ножей для выживания не допускаются выкрашивание, заусенцы, раковины, трещины, расслоения и другие дефекты, ухудшающие прочность и безопасность изделия, и его внешний вид.</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4.8. Конструкции клинков (их форма, масса, размеры и др.) ножей для выживания, а также примененные для их изготовления материалы, должны иметь необходимую для холодного клинкового оружия прочность и твердость, обеспечивать достаточные поражающие свойства, возможность использования их при выполнении тяжелых хозяйственных работ и долговечность их эксплуатации.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4.9. Для изготовления клинков ножей для выживания могут быть применены: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различные металлы и их сплавы (углеродистые стали, коррозийно-стойкие легированные стали, дамасские и булатные стали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иные материалы: керамика (циркон — диоксид циркония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композиции материалов (сталь с покрытием слоем нитрида титана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4.10. Клинок и совмещенный с ним инструмент (например, пила) трансформирующихся ножей для выживания в рабочем положении должен жестко фиксироваться (т.е. должен иметься фиксатор).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4.11. Конструкция трансформирующихся ножей может предусматривать вращение вокруг оси, укрепленной в рукояти, пластины, на одном конце которой изготовлен клинок, а на другом (хвостовике) — либо иной клинок, либо какой-либо предмет или приспособление (например, пила).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4.11.1. Конструкция трансформирующихся ножей может предусматривать также изменение положения двух частей рукояти, выполненной по типу рукояти ножа ‘Бабочки’, относительно шарнирных осей закрепленных в металлической пластине, на одном конце которой изготовлен клинок, а на другом (хвостовике) — либо иной клинок, либо какой-нибудь предмет или приспособление (например, пила).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4.11.2. Для трансформирующихся ножей для выживания могут применены и иные конструкции (например, использование рамочной конструкции рукояти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4.12. Конструкцией ножей для выживания со съемными (сменными) клинками и предметами может быть предусмотрена фиксация клинка как в одном (боевом), так и в нескольких положениях относительно рукояти (перпендикулярное или под иными углами), обеспечивающих удобство применения ножа при использовании его дополнительных функций (например, при разделке туш, снятии шкуры).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4.13. Лезвие ножа для выживания должно быть заточено. Допускаются специальные виды заточек (например, типа ‘бобровый зуб’) как на всю длину лезвия, так и на его часть.</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4.14. У ножей для выживания допускается выполнение дополнительной заточки на скосе и части обуха на длину до 2/3 клинка (от его острия), обеспечивающей улучшение его поражающих свойств. Степень такой заточки ограничений не имеет.</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4.15. Допускается изготовление ножей для выживания с клинками, как у охотничьих кинжалов (см. ГОСТ Р ?51500-99 ‘Ножи и кинжалы охотничьи. Общие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4.16. Ножи для выживания должны иметь дополнительные предметы и приспособления как бытового назначения (шило, штопор, консервооткрыватель, компас, аптечка, спички, прочный шнур и т.д.), так и специального назначения: экстрактор; обжимное кольцо; пила для дерева и кости, которая может быть выполнена на обухе основного клинка, либо в виде отдельного предмета; шкуросъемный нож, рыболовные снасти, рогатка, тетива для лука и т.п., которые располагаются в полости рукояти и на ее навершии, на клинке и хвостовике пластины (у трансформирующихся ножей), в ножнах (чехле) ножа.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4.17. К ножам для выживания со съемными (сменными) клинками и предметами может изготавливаться комплект дополнительных сменных клинков (шкуродерных, разделочных), а также предметов (топор, лопатка, пила для кости и дерева и др.), которые должны устанавливаться на место основного клинка и заменяться без применения инструмента.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4.18. На клинках ножей для выживания допускается изготовление специальных выступов и пазов, характерных для военного боевого холодного короткоклинкового оружия и предназначенных для нанесения рваных ран.</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4.19. Допускается изготовление клинков ножей для выживания с использованием технологий термической или механической обработок, нанесения специальных покрытий (воронение, шлифовка до матовой поверхности, окраска, напыление металлов и др.), обеспечивающих противобликовую структуру их поверхностей.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4.20. Рукояти ножей охотничьих должны быть тщательно обработаны и их конструкция должна обеспечивать безопасность при применении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4.21. Конструкции рукоятей ножей для выживания могут быть различными: с череном либо плашками, закрепленными различными способами с хвостовиком клинка, с одно либо двухсторонними ограничителями или без них, с одной или несколькими подпальцевыми выемками на черене и втулках, предусматривать наличие одной или двух втулок, навершие (с креплением компаса либо приспособления для темляка или без него); с рукоятями ножей типа ‘Бабочка’, рамочные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4.21.1. Наиболее типичной конструкцией рукояти у разборных и неразборных ножей для выживания является цилиндрическая полая металлическая (или из других прочных материалов) рукоять, имеющая рельефную накатку по внешней поверхности, с двусторонним ограничителем и навершием, которое с помощью резьбового соединения с череном закрывает ее полость. Рукоять надежно соединяется с хвостовиком сваркой (у неразборных) или с помощью резьбового соединения (у разборных ножей), при этом гайка располагается в полости рукояти. Такая конструкция рукояти обеспечивает компактное хранение в полости сопутствующих предметов и приспособлений (например, рыболовных снастей), а также дает возможность при снятии навершия использовать черен как насад на древко, при этом оставшиеся детали ножа служат наконечником, а клинок — зубом копья.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4.22. Рукояти ножей для выживания могут изготавливаться из различных прочных природных и синтетических материалов или их комбинаций.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4.23. Ножи для выживания могут изготавливаться с различными декоративными покрытиями, а также с художественным оформлением наружных поверхностей клинков, других металлических предметов, приспособлений и деталей, а также рукоятей и их деталей с нанесением декоративного рисунка (рисованием, гравированием, химическими и электрографическими методами, лазерным или термическим выжиганием, резьбой по металлу и дереву, инкрустацией, чеканкой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4.24. Ножи для выживания могут изготавливаться как художественное холодное клинковое оружие, предназначенное для использования в походных экстремальных условиях, промысловой или спортивной охоты и для коллекционирования.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4.25. Ножи для выживания должны комплектоваться предохранительными ножнами (чехлами), изготовленными из натуральных, синтетических или комбинаций различных материалов, которые должны обеспечивать безопасность при ношении оружия, а также ношение и сохранность всех дополнительных предметов и приспособлений.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4.26. Ножи для выживания, выполненные как художественное холодное клинковое оружие, могут комплектоваться как ножнами, так и (или) футлярами для их транспортировки и хранения, изготовленными из натуральных, синтетических или комбинаций различных материалов.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4.27. Ножны (чехлы) и упаковочные футляры ножей для выживания могут изготавливаться с художественным оформлением.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 ТЕХНИЧЕСКИЕ ТРЕБОВАНИЯ К НОЖАМ ДЛЯ ВЫЖИВАНИЯ.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5.1. Настоящим ГОСТом установлены предельные минимальные размеры для боевых клинков ножей для выживания, являющихся гражданским холодным клинковым оружием: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длина не менее 90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Длина клинка определяется размером от острия до ограничителя, а в случае его отсутствия до переднего торца втулки или черена рукояти.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толщина обуха не менее 2,6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Измерение толщины обуха производится в наиболее толстом месте клинка (например, на пяте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5.2. Твердость боевых клинков ножей для выживания не должна быть ниже — 42 HRC.</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5.3. Боевые клинки ножей должны быть прочными, упругими и иметь остаточную деформацию при изгибе в пределах, установленных требованиями настоящего ГОСТа. Прочность и упругость конструкции охотничьих ножей определяются по схеме 1 (см. п. п. 9.5, 9.5.1, 9.5.2 раздела ‘Методы контроля’).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После испытания на клинке не должно быть остаточных деформаций, превышающих 1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5.4. Минимальные размеры для клинков кинжального типа ножей для выживания, являющихся гражданским клинковым оружием, установлены в соответствии с ГОСТ Р ?51500-99 ‘Ножи и кинжалы охотничьи. Общие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длина не менее 150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толщина не менее 4,0 мм. Измерение толщины клинка производится в наиболее толстом его месте (например, на ребре жесткости).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ширина не менее 25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соотношение длины клинка к его ширине не более 6:1.</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5.5. Превышение ширины одностороннего или двухстороннего (в сумме) ограничителя над шириной черена рукояти должно быть — не менее 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5.6. Глубина одиночной подпальцевой выемки на передней втулке или черене рукояти ножа для выживания при отсутствии ограничителя должна быть — не менее 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5.7. Глубина подпальцевой выемки на черене рукояти, имеющем более одной подпальцевой выемки, должна быть — не менее 4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 МАРКИРОВКА НОЖЕЙ ДЛЯ ВЫЖИВАНИЯ.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6.1. Ножи для выживания в соответствии с федеральным Законом ‘Об оружии’ должны иметь маркировку.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6.2. На ножах для выживания должны быть нанесены маркировочные обозначения: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товарного знака (или логотипа) предприятия-изготовителя;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номера для регистрации.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6.3. Маркировочные обозначения могут наноситься на изделия при их изготовлении различными способами (штамповкой, гравировкой, травлением, выжиганием и др.) на любую несъемную деталь ножа для выживания (боевой клинок, ограничитель, рукоять).</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6.4. Выбранный способ нанесения регистрационного номера и клейма изготовителя на изделия должен обеспечивать их сохранность на весь период эксплуатации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6.5. Маркировочное обозначение товарного знака (или логотипа) предприятия-изготовителя может дублироваться и на ножнах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6.6. Номера для регистрации на ножи для выживания импортного производства должны наноситься торговыми предприятиями, осуществляющими их оптовую или розничную продажу.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6.7. Номер для регистрации на единичные экземпляры ножей для выживания, ввезенные на территорию Российской Федерации гражданами, наносятся ими самостоятельно либо в специализированных мастерских указанными способами в соответствии с пунктами 6.3 и 6.4.</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6.7.1. В качестве регистрационного в этом случае на изделие наносится номер документа, выданного соответствующими органами владельцу оружия и разрешающего приобретение, ношение и хранение гражданского холодного клинкового оружия (охотничьего билета, лицензии на коллекционирование и т.п.).</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6.8. Аналогичным пункту 6.7 порядком наносится регистрационный номер на ножи для выживания, у которых по различным причинам отсутствовали маркировочные обозначения (самодельно изготовленные, с уничтоженной маркировкой, импортное оружие), принадлежащие гражданам, имеющим право на приобретение, ношение и хранение гражданского холодного клинкового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6.9. На единичные экземпляры ножей и кинжалов охотничьих, изготовленные мастерами-оружейниками в соответствии с пунктами 6.3 и 6.4 наносятся маркировочные обозначения: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клейма (или логотипа) мастера;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регистрационного порядкового номера (по учету изготовителя).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 УПАКОВКА НОЖЕЙ ДЛЯ ВЫЖИВАНИЯ.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7.1. Упаковка ножей для выживания должна быть индивидуальна (коробка из картона, полиэтиленовый пакет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7.2. Для художественно оформленных и коллекционных ножей для выживания в качестве индивидуальной упаковки могут использоваться специальные футляры, изготовленные из натуральных, синтетических или комбинаций различных материалов.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7.3. На каждой коробке для индивидуальной упаковки ножа для выживания рекомендуется наносить надпись с полным наименованием предприятия-изготовителя (или его аббревиатурой) и юридическим адресом, изображение товарного знака (или логотипа).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7.3.1. Для изделий, произведенных в Российской Федерации и предназначенных на экспорт, указанные надписи на коробках могут дублироваться на английском языке (или ином языке — по требованию заказчика).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7.3.2. На индивидуальной коробке могут быть обозначены места, на которые следует наклеивать специальные этикетки, либо вписывать от руки данные с указанием каталожного номера либо наименования изделия.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7.4. Дополнительно на упаковку также может наклеиваться этикетка с установленным штрих кодом и вписываться регистрационный номер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7.5. В каждую индивидуальную коробку либо пакет с ножом для выживания, изготовленным в Российской Федерации, рекомендуется помещать бумажный вкладыш с указанием: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полного наименования предприятия-изготовителя, либо фамилии, имени и отчества мастера-оружейника, изготовившего изделие;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юридического адреса предприятия-изготовителя, по которому потребители могут предъявлять свои претензии по качеству изделия;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обозначение каталожного номера или наименование изделия;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даты производства изделия (может вноситься от руки, либо наноситься с помощью специального маркиратора);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на соответствие изделия настоящему ГОСТу 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Для изделий, выпускаемых серийно, данное обстоятельство дополнительно может быть подтверждено оттиском на данном вкладыше штампа технического контроля качества предприятия-изготовителя.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наименование органа сертификации, номера и даты выдачи сертификата на гражданское холодное клинковое оружие;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номера и даты выдачи протокола криминалистических испытаний, проведенных в испытательной лаборатории ЭКЦ МВД России или ее филиалах;</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регистрационного номера изделия (может вноситься от руки, либо наноситься с помощью специального маркиратора);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гарантийных обязательств предприятия-изготовителя;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выписки из Закона ‘Об оружии’ с правилами реализации (оборота) и регистрации ножей для выживания;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места, где должна быть выполнена отметка торгового предприятия (наименование, юридический адрес, дата продажи изделия).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7.7. Текст вкладыша должен быть выполнен четким шрифтом с помощью любой множительной техники (типографским способом, на ксероксе или принтере и т.п.).</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7.7.1. Оттиски штампа технического контроля качества и даты изготовления (месяца и года) должны быть четкими.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7.8. Дополнительно в индивидуальную упаковку ножа для выживания может быть вложена копия информационного листка к протоколу криминалистических испытаний, выданного в ЭКЦ МВД России, либо в филиалах его испытательной лаборатории.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7.9. Ножи для выживания с ножнами в индивидуальных упаковках либо в упаковочных футлярах по 10, 20 или 30 штук (по согласованию с заказчиком) должны быть уложены в общую коробку из упаковочного картона.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7.10. Допускается упаковка ножей для выживания различных наименований в общую коробку в зависимости от количества заказанных для реализации изделий.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7.11. В общую коробку для проверки содержимого, упакованного в ней, рекомендуется помещать бумажный вкладыш с указанием номера и даты заказа либо договора о поставке, перечня упакованных изделий (их количества, наименований или каталожных номеров) и их номеров для регистрации, а также даты упаковки и Ф.И.О., либо условного номера упаковщика (оттиск штампа упаковщика).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7.12. Каждая такая коробка должна быть обандеролена бумажной или синтетической (типа ‘скотч’) самоклеющейся лентой так, чтобы вскрыть упаковку без их повреждения было невозможно.</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7.13. На общую коробку рекомендуется наклеивать две этикетки: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первая — с указанием основных реквизитов (полного наименования предприятия-изготовителя, Ф.И.О. мастера-оружейника, изготовившего изделия, изображение товарного знака (или логотипа), номера заказа, необходимых реквизитов заказчика, количества упакованных изделий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вторая — с перечнем регистрационных номеров, упакованных изделий.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7.14. Масса ‘брутто’ общей коробки с ножами для выживания не должна быть более 20 кг.</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 ПРАВИЛА ПРИЕМКИ НОЖЕЙ ДЛЯ ВЫЖИВАНИЯ.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8.1. Каждое изделие, выпущенное предприятием-изготовителем или мастером, должно быть проверено на соответствие техническим требованиям настоящего ГОСТа.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8.2. Для проверки соответствия производимых для оборота на территории Российской Федерации ножей для выживания требованиям настоящего ГОСТа предусматривается постоянный и периодический технический контроль их качества.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8.3. Постоянному техническому контролю качества по п. п. 4.5 — 4.7, 4.10, 4.12, 4.15 — 4.16, 4.20, 4.25 должны подвергаться 100% готовых изделий.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8.4. Постоянному техническому контролю качества по п. п. 4.13 — 4.15, 5.2 — 5.7 должны подвергаться 1% изделий, но не менее трех штук из изготовленной партии изделий одного типоразмера.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Партией считается любое количество изделий, предъявленных к сдаче одновременно и оформленное одним документом.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8.5. Постоянному техническому контролю качества по п. п. 4.4, 4.8 должно подвергаться одно изделие, взятое по случайной выборке из изготовленной партии ножей для выживания одного типоразмера.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8.6. После проведенной проверки изделий в партии по положительным результатам постоянного технического контроля качества на вкладышах индивидуальной упаковки рекомендуется ставить штамп предприятия-изготовителя о соответствии изделий требованиям настоящего ГОСТа.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8.7. При отрицательном результате проверки в рамках постоянного контроля качества, т.е. при установлении несоответствия хотя бы по одному пункту настоящего ГОСТа (указанных в п. п. 8.3 — 8.5), изделия должны быть возвращены для устранения дефектов, а затем вторично подвергнуты проверке в полном объеме.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8.8. Периодическому техническому контролю качества на соответствие требованиям настоящего ГОСТа должны подвергаться по три образца изделий, взятых по случайной выборке из изготовленных партий ножей для выживания, прошедших ранее постоянный технический контроль, всех выпускаемых предприятием по номенклатуре типоразмеров.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8.9. Периодические испытания проводятся один раз в год. По их результатам составляется соответствующий акт.</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8.10. Если в процессе периодических испытаний будет обнаружено несоответствие хотя бы по одному пункту настоящего ГОСТа, то должно быть проведено испытание удвоенного количества изделий. Результаты проверки удвоенного количества являются окончательными.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8.11. При отрицательных результатах периодической проверки должна быть прекращена реализация готовых изделий. Потребителям продукции должны быть направлены письма с уведомлением о приостановке ее реализации и проведении проверки на соответствие требованиям настоящего ГОСТа 100% изделий данного предприятия-изготовителя, находящихся в розничной продаже.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8.12. Изделия, несоответствующие требованиям настоящего ГОСТа могут быть возвращены потребителями изготовителю для устранения дефектов, либо замены.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8.13. Приобретенные в розничной сети изделия, выпущенные в период (год) предшествующий периодическому испытанию технического контроля качества, давшего отрицательные результаты, подлежат безоговорочной замене изготовителем потребителю, в случае его обращения с претензией на качество к изготовителю либо к торговому предприятию.</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8.14. Изготовители, производящие ножи для выживания небольшими по количеству изделий партиями, должны обеспечить 100% технический контроль качества своих изделий и соответствие их требованиям настоящего ГОСТа, о чем могут сделать отметку во вкладыше индивидуальной упаковки каждого изделия.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8.15. Постоянный технический контроль качества импортных изделий осуществляет непосредственно иностранное предприятие-изготовитель.</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8.16. Периодический контроль, т.е. контроль ввозимых партий изделий осуществляется при сертификации образцов продукции, поступающих для оборота на территории Российской Федерации, а также самостоятельно торговыми предприятиями изделий, прошедших ранее в установленном порядке Российскую сертификацию, вновь при заключении договоров о поставке и последующем контроле качества, полученной по ним импортной продукции.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8.17. Ответственность за несоответствие импортных изделий, поступивших для оборота на территории Российской Федерации, требованиям настоящего ГОСТа несут торговые предприятия, осуществляющие их оптовую и (или) розничную реализацию в России.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8.18. Ножи для выживания, изготовленные для экспорта, могут не соответствовать требованиям настоящего ГОСТа и производиться предприятиями-изготовителями по техническим требованиям заказчика (например, с клинками боевых кинжалов).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8.19. Изделия предъявляются к сдаче потребителю изготовителем партиями.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8.20. Потребитель обязан произвести контрольную проверку 1% изделий, но не менее 1 — 5 штук ножей для выживания одного типоразмера, взятых из партии путем случайной выборки.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8.21. Если при контрольной проверке обнаружится, что хотя бы одно изделие не соответствует требованиям настоящего ГОСТа, то должна быть проведена проверка удвоенного количества изделий, взятых из той же партии путем случайной выборки.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8.22. Если при проверке удвоенного количества изделий обнаружится, что хотя бы одно изделие не соответствует требованиям настоящего ГОСТа, то вся партия бракуется.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 МЕТОДЫ КОНТРОЛЯ.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9.1. Проверка внешнего вида ножей для выживания должна производиться визуально, путем сравнения с образцом-эталоном.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9.2. Проверка основных размеров должна производиться поверенным универсальным мерительным инструментом, обеспечивающим заданную точность линейных измерений, по действующей на предприятии-изготовителе нормотивно-технической документации.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Точность измерения: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линейных размеров, глубины повреждений и остаточных деформаций — 0,1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величины углов — 1?.</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9.3. Проверка степени заточки клинка ножа для выживания проводиться путем пятикратного среза березовой палочки диаметром 10-12 мм и влажностью не более 12%, при этом оценивается состояние поверхности срезов, которые должны быть ровными, без задиров.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9.3.1. Проверка заточки обоих лезвий клинка кинжального типа ножа для выживания проводиться путем пятикратного среза каждым лезвием березовой палочки диаметром 10-12 мм и влажностью не более 12%, при этом оценивается состояние поверхности срезов, которые должны быть ровными, без задиров.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9.4. Проверка твердости клинков должна производиться на приборе для измерения твердости по методу Роквелла в соответствии с ГОСТ 9013-59 и со стандартами ИСО 2039/2-81; DIN 50103; ASTM Е 18-74.</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9.5. Прочность и упругость конструкции ножей для выживания определяются по схеме 1, показанной на рисунке.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Схема ?1.</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Схема проведения испытаний на прочность и упругость ножей для выживания.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9.5.1. При длине клинка ножа для выживания 90 мм его боевой конец (острие) отгибается на 5 мм. С увеличением длины клинка на каждые 25 мм, величина отгиба увеличивается на 2 мм. После испытания на клинке не должно быть остаточных деформаций, превышающих 1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9.5.2. При длине клинка кинжального типа ножа для выживания 150 мм его боевой конец (острие) отгибается на 10 мм. С увеличением длины клинка на каждые 25 мм, величина отгиба увеличивается на 2 мм. После испытания на клинке не должно быть остаточных деформаций, превышающих 1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9.6. Для проверки прочности конструкции ножей для выживания проводятся в обязательном порядке испытания, в процессе которых устанавливается возможность неоднократного поражения ими цели без разрушения.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9.6.1. При неоднократном (от 10 до 50 раз подряд) применении оружия (ударов ножом для выживания, наносимых под различными углами в мишень рукой человека или специальным устройством с силой удара от 20 до 50 джоулей) фиксируется наличие или отсутствие разрушения конструкции в целом или отдельных деталей.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В качестве мишени используется сухая сосновая доска (с влажностью древесины не более 12%) толщиной 30 — 50 мм, установленная в вертикальном и горизонтальном положении на мягкой подложке.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9.6.2. Полученные при испытаниях результаты оцениваются по степени их влияния: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на прочность конструкции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возможность его многократного применения;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снижение поражающих свойств.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9.7. Обязательным является проверка ножей для выживания на безопасность и удобство целевого использования в качестве холодного клинкового оружия, в связи с чем проверяются: удобство удержания оружия в руке, безопасность нанесения различных по силе и направлению ударов (в соответствии с требованиями п. 9.6.1).</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9.7.1. Проверяется достаточность поражающих свойств ножей для выживания, которая устанавливается по относительной глубине повреждений, полученных в результате нанесения с силой удара от 20 до 50 джоулей колющих ударов, в мишени: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сухой сосновой доске толщиной 30 — 50 мм, установленной в вертикальном и горизонтальном положении на мягкой подложке, при этом глубина внедрения клинка в доску (при поперечном расположении волокон древесины относительно него) должна быть не менее 10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Влажность древесины мишени должна быть не более 12%.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специальной пластиковой ‘Мишени’, имитирующей мышечные ткани человека, установленной в вертикальном и горизонтальном положении, при этом глубина внедрения клинка должна быть не менее 20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 ХРАНЕНИЕ И ТРАНСПОРТИРОВАНИЕ.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10.1. Хранение готовых изделий должно осуществляться в упакованном виде в нормальных климатических условиях.</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10.2. Хранение изделий совместно с химическими веществами, отрицательно влияющими на качество изделий, не допускается.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10.3. Хранение ножей для выживания осуществляется в специальных складских помещениях, оборудованных в соответствии с требованиями федерального Закона ‘Об оружии’ и других нормативных и ведомственных документов, регламентирующих оборот гражданского холодного клинкового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10.4. Транспортирование ножей для выживания осуществляется в упакованном виде в соответствии с правилами и требованиями, установленными федеральным Законом ‘Об оружии’ и другими нормативными и ведомственными документами, регламентирующими оборот гражданского холодного клинкового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11. ГАРАНТИЙНЫЕ ОБЯЗАТЕЛЬСТВА.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11.1. Изготовители гарантируют соответствие произведенных ими изделий требованиям настоящего ГОСТа при соблюдении потребителем правил транспортирования и хранения.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11.2. Торговые предприятия, осуществляющие оптовую и (или) розничную продажу гражданского холодного клинкового оружия импортного производства, гарантируют соответствие реализуемых ими изделий требованиям настоящего ГОСТа при соблюдении потребителем правил транспортирования и хранения.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11.3. Гарантийные сроки эксплуатации ножей для выживания устанавливаются изготовителями, а для импортных изделий — торговыми предприятиями, при этом минимальный гарантийный срок не может быть менее 12 месяцев со дня реализации изделия через розничную торговую сеть.</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11.4. Торговое предприятие не может установить гарантийный срок эксплуатации реализуемого ими импортного изделия менее чем он определен самим изготовителем в сопроводительных документах (сертификатах качества, обязательствах фирмы и т.п.) либо на упаковке изделий.</w:t>
      </w:r>
    </w:p>
    <w:p w:rsidR="00000000" w:rsidDel="00000000" w:rsidP="00000000" w:rsidRDefault="00000000" w:rsidRPr="00000000">
      <w:pPr>
        <w:spacing w:line="276" w:lineRule="auto"/>
        <w:contextualSpacing w:val="0"/>
      </w:pPr>
      <w:r w:rsidDel="00000000" w:rsidR="00000000" w:rsidRPr="00000000">
        <w:rPr>
          <w:rtl w:val="0"/>
        </w:rPr>
      </w:r>
    </w:p>
    <w:sectPr>
      <w:pgSz w:h="16838" w:w="11906"/>
      <w:pgMar w:bottom="566.9291338582677" w:top="566.9291338582677" w:left="566.9291338582677" w:right="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